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91F24C" w14:textId="632C149B" w:rsidR="00C6176A" w:rsidRPr="004E4615" w:rsidRDefault="00C6176A" w:rsidP="004E4615">
      <w:pPr>
        <w:spacing w:line="276" w:lineRule="auto"/>
        <w:rPr>
          <w:rFonts w:ascii="Arial" w:hAnsi="Arial" w:cs="Arial"/>
        </w:rPr>
      </w:pPr>
      <w:r>
        <w:rPr>
          <w:rFonts w:ascii="Arial" w:hAnsi="Arial"/>
          <w:noProof/>
        </w:rPr>
        <w:drawing>
          <wp:anchor distT="0" distB="0" distL="114300" distR="114300" simplePos="0" relativeHeight="251655168" behindDoc="0" locked="0" layoutInCell="1" allowOverlap="1" wp14:anchorId="7EADACF3" wp14:editId="2D1F67BC">
            <wp:simplePos x="0" y="0"/>
            <wp:positionH relativeFrom="margin">
              <wp:posOffset>-647700</wp:posOffset>
            </wp:positionH>
            <wp:positionV relativeFrom="topMargin">
              <wp:align>bottom</wp:align>
            </wp:positionV>
            <wp:extent cx="6614160" cy="59055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nsor-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614160" cy="590550"/>
                    </a:xfrm>
                    <a:prstGeom prst="rect">
                      <a:avLst/>
                    </a:prstGeom>
                  </pic:spPr>
                </pic:pic>
              </a:graphicData>
            </a:graphic>
          </wp:anchor>
        </w:drawing>
      </w:r>
    </w:p>
    <w:p w14:paraId="75ED706E" w14:textId="77777777" w:rsidR="00C6176A" w:rsidRPr="00F83413" w:rsidRDefault="00C6176A" w:rsidP="004E4615">
      <w:pPr>
        <w:spacing w:line="276" w:lineRule="auto"/>
        <w:rPr>
          <w:rFonts w:ascii="Arial" w:hAnsi="Arial" w:cs="Arial"/>
          <w:b/>
          <w:sz w:val="24"/>
          <w:szCs w:val="24"/>
        </w:rPr>
      </w:pPr>
      <w:r>
        <w:rPr>
          <w:rFonts w:ascii="Arial" w:hAnsi="Arial"/>
          <w:b/>
          <w:sz w:val="24"/>
          <w:szCs w:val="24"/>
        </w:rPr>
        <w:t>Sensor Instruments Basın Bülteni</w:t>
      </w:r>
    </w:p>
    <w:p w14:paraId="30FF1264" w14:textId="5F0632F7" w:rsidR="00C6176A" w:rsidRPr="004E4615" w:rsidRDefault="00D7438D" w:rsidP="004E4615">
      <w:pPr>
        <w:pBdr>
          <w:bottom w:val="single" w:sz="6" w:space="1" w:color="auto"/>
        </w:pBdr>
        <w:spacing w:line="276" w:lineRule="auto"/>
        <w:rPr>
          <w:rFonts w:ascii="Arial" w:hAnsi="Arial" w:cs="Arial"/>
        </w:rPr>
      </w:pPr>
      <w:r>
        <w:rPr>
          <w:rFonts w:ascii="Arial" w:hAnsi="Arial"/>
        </w:rPr>
        <w:t>Aralık 2020</w:t>
      </w:r>
    </w:p>
    <w:p w14:paraId="4471457E" w14:textId="77777777" w:rsidR="00C6176A" w:rsidRPr="004E4615" w:rsidRDefault="00C6176A" w:rsidP="004E4615">
      <w:pPr>
        <w:spacing w:line="276" w:lineRule="auto"/>
        <w:rPr>
          <w:rFonts w:ascii="Arial" w:hAnsi="Arial" w:cs="Arial"/>
        </w:rPr>
      </w:pPr>
    </w:p>
    <w:p w14:paraId="4883D155" w14:textId="0AA05E19" w:rsidR="00457CED" w:rsidRDefault="00034BD0" w:rsidP="00867B71">
      <w:pPr>
        <w:rPr>
          <w:b/>
          <w:sz w:val="28"/>
          <w:szCs w:val="28"/>
        </w:rPr>
      </w:pPr>
      <w:r>
        <w:rPr>
          <w:b/>
          <w:sz w:val="28"/>
          <w:szCs w:val="28"/>
        </w:rPr>
        <w:t>Uçup gitti mi? Yağı buharlaşırken bile izliyoruz!</w:t>
      </w:r>
    </w:p>
    <w:p w14:paraId="42C0B4A8" w14:textId="61E6466B" w:rsidR="00867B71" w:rsidRPr="00867B71" w:rsidRDefault="00D7438D" w:rsidP="00867B71">
      <w:pPr>
        <w:rPr>
          <w:bCs/>
        </w:rPr>
      </w:pPr>
      <w:r>
        <w:rPr>
          <w:b/>
        </w:rPr>
        <w:t xml:space="preserve">22.12.2020. Sensor Instruments GmbH: </w:t>
      </w:r>
      <w:r>
        <w:t>Zımba ve bükme parçaların üretiminde gittikçe artan oranda buharlaşan zımba ve çekme yağı kullanılır. Buradaki ana fikir, zımbalanmış veya şekillendirilmiş metal parçaların üzerinde olabildiğince az yağ kalıntısı bırakmaktır, böylece metal parçaların devam eden işlemlerinde çoğu durumda temizleme prosesinden tasarruf edilebilir. Ancak uygulanan yağın ne kadarı fiilen yapı parçasının üzerinde kalır ve buharlaşma işlemi ne kadar sürer?</w:t>
      </w:r>
    </w:p>
    <w:p w14:paraId="7B9A5C40" w14:textId="2C74D4CA" w:rsidR="00355CA2" w:rsidRDefault="00034BD0" w:rsidP="00867B71">
      <w:pPr>
        <w:rPr>
          <w:bCs/>
        </w:rPr>
      </w:pPr>
      <w:r>
        <w:t xml:space="preserve">SPECTRO-M serimiz ile, buharlaşmayı aydınlattık! Bunun için yağdan arındırılmış çelik sacların üzerine 5’er damla yağ (5 x 20 µl) uyguladık ve 70 mm çapındaki bir alana yaydık. Bu işlemin başında yağ tabakası kalınlığı yaklaşık olarak 25 µm idi. Ardından </w:t>
      </w:r>
      <w:r>
        <w:rPr>
          <w:b/>
        </w:rPr>
        <w:t>SPECTRO-M-10-MIR/(MIR1+MIR2)</w:t>
      </w:r>
      <w:r>
        <w:t xml:space="preserve"> sensörü ortalanarak yağ damlasının üzerine yerleştirildi ve ölçüme başlandı: MIR sensörü yardımıyla iki ölçüm penceresini izledik, her ikisi de orta kızıl ötesi aralıktaydı (MIR aralığı). Burada dikkate alınması gereken husus, bu iki dalga boyu aralığı penceresinden birinin (burada CH0 ile tanımlandı) yağın mevcudiyetine tepki gösterdiği, diğerinin ise (CH1) tepki göstermediğidir. Yağın mevcut olduğu durumda bu iki ölçüm penceresinin arasındaki ilişkide yaşanan kayma ile algılama aralığındaki yağ miktarı tespit edilebilir:</w:t>
      </w:r>
    </w:p>
    <w:p w14:paraId="19142253" w14:textId="77777777" w:rsidR="00097D14" w:rsidRDefault="00097D14" w:rsidP="00867B71">
      <w:pPr>
        <w:rPr>
          <w:bCs/>
        </w:rPr>
      </w:pPr>
    </w:p>
    <w:tbl>
      <w:tblPr>
        <w:tblStyle w:val="Tabellenraster"/>
        <w:tblW w:w="1105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954"/>
      </w:tblGrid>
      <w:tr w:rsidR="00C247EE" w14:paraId="402EA7AA" w14:textId="77777777" w:rsidTr="006551EF">
        <w:tc>
          <w:tcPr>
            <w:tcW w:w="5104" w:type="dxa"/>
          </w:tcPr>
          <w:p w14:paraId="70CC4AEC" w14:textId="79B85B8C" w:rsidR="00BF2180" w:rsidRDefault="00BF2180">
            <w:pPr>
              <w:rPr>
                <w:bCs/>
                <w:noProof/>
              </w:rPr>
            </w:pPr>
            <w:r>
              <w:rPr>
                <w:noProof/>
              </w:rPr>
              <w:drawing>
                <wp:inline distT="0" distB="0" distL="0" distR="0" wp14:anchorId="31A89866" wp14:editId="5C45D562">
                  <wp:extent cx="2796540" cy="2310130"/>
                  <wp:effectExtent l="0" t="0" r="3810" b="0"/>
                  <wp:docPr id="3" name="Grafik 3"/>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rotWithShape="1">
                          <a:blip r:embed="rId7" cstate="print">
                            <a:extLst>
                              <a:ext uri="{28A0092B-C50C-407E-A947-70E740481C1C}">
                                <a14:useLocalDpi xmlns:a14="http://schemas.microsoft.com/office/drawing/2010/main" val="0"/>
                              </a:ext>
                            </a:extLst>
                          </a:blip>
                          <a:srcRect l="10652"/>
                          <a:stretch/>
                        </pic:blipFill>
                        <pic:spPr bwMode="auto">
                          <a:xfrm>
                            <a:off x="0" y="0"/>
                            <a:ext cx="2796540" cy="2310130"/>
                          </a:xfrm>
                          <a:prstGeom prst="rect">
                            <a:avLst/>
                          </a:prstGeom>
                          <a:ln>
                            <a:noFill/>
                          </a:ln>
                          <a:extLst>
                            <a:ext uri="{53640926-AAD7-44D8-BBD7-CCE9431645EC}">
                              <a14:shadowObscured xmlns:a14="http://schemas.microsoft.com/office/drawing/2010/main"/>
                            </a:ext>
                          </a:extLst>
                        </pic:spPr>
                      </pic:pic>
                    </a:graphicData>
                  </a:graphic>
                </wp:inline>
              </w:drawing>
            </w:r>
          </w:p>
        </w:tc>
        <w:tc>
          <w:tcPr>
            <w:tcW w:w="5954" w:type="dxa"/>
          </w:tcPr>
          <w:p w14:paraId="68632FD3" w14:textId="41BFC7F7" w:rsidR="00BF2180" w:rsidRDefault="00BF2180">
            <w:pPr>
              <w:rPr>
                <w:bCs/>
              </w:rPr>
            </w:pPr>
            <w:r>
              <w:rPr>
                <w:noProof/>
              </w:rPr>
              <w:drawing>
                <wp:inline distT="0" distB="0" distL="0" distR="0" wp14:anchorId="40C767A8" wp14:editId="7AA8B342">
                  <wp:extent cx="3598545" cy="2619375"/>
                  <wp:effectExtent l="0" t="0" r="1905" b="9525"/>
                  <wp:docPr id="6" name="Grafik 6"/>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8">
                            <a:extLst>
                              <a:ext uri="{28A0092B-C50C-407E-A947-70E740481C1C}">
                                <a14:useLocalDpi xmlns:a14="http://schemas.microsoft.com/office/drawing/2010/main" val="0"/>
                              </a:ext>
                            </a:extLst>
                          </a:blip>
                          <a:srcRect l="4063"/>
                          <a:stretch/>
                        </pic:blipFill>
                        <pic:spPr bwMode="auto">
                          <a:xfrm>
                            <a:off x="0" y="0"/>
                            <a:ext cx="3598545" cy="261937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518A7D6" w14:textId="4DCBEBC6" w:rsidR="003C7F77" w:rsidRPr="00097D14" w:rsidRDefault="004E3E27" w:rsidP="003C7F77">
      <w:pPr>
        <w:rPr>
          <w:bCs/>
        </w:rPr>
      </w:pPr>
      <w:bookmarkStart w:id="0" w:name="_Hlk43206880"/>
      <w:r>
        <w:t>Yağsız (yağdan arındırılmış) bir çelik yüzeyin MIRref spektrumu. Her iki dalga boyu aralığı da yaklaşık olarak aynı sinyali verir.</w:t>
      </w:r>
    </w:p>
    <w:tbl>
      <w:tblPr>
        <w:tblStyle w:val="Tabellenraster"/>
        <w:tblW w:w="1105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954"/>
      </w:tblGrid>
      <w:tr w:rsidR="00271E55" w14:paraId="39EEA437" w14:textId="77777777" w:rsidTr="0046439B">
        <w:tc>
          <w:tcPr>
            <w:tcW w:w="5104" w:type="dxa"/>
          </w:tcPr>
          <w:p w14:paraId="7E757C0E" w14:textId="295B0321" w:rsidR="00271E55" w:rsidRPr="00966044" w:rsidRDefault="00271E55" w:rsidP="0046439B">
            <w:pPr>
              <w:rPr>
                <w:noProof/>
              </w:rPr>
            </w:pPr>
            <w:r>
              <w:rPr>
                <w:b/>
                <w:bCs/>
                <w:noProof/>
              </w:rPr>
              <w:lastRenderedPageBreak/>
              <w:drawing>
                <wp:inline distT="0" distB="0" distL="0" distR="0" wp14:anchorId="7C96B7D4" wp14:editId="6697D6EE">
                  <wp:extent cx="2954655" cy="2447925"/>
                  <wp:effectExtent l="0" t="0" r="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rotWithShape="1">
                          <a:blip r:embed="rId9" cstate="print">
                            <a:extLst>
                              <a:ext uri="{28A0092B-C50C-407E-A947-70E740481C1C}">
                                <a14:useLocalDpi xmlns:a14="http://schemas.microsoft.com/office/drawing/2010/main" val="0"/>
                              </a:ext>
                            </a:extLst>
                          </a:blip>
                          <a:srcRect l="10913"/>
                          <a:stretch/>
                        </pic:blipFill>
                        <pic:spPr bwMode="auto">
                          <a:xfrm>
                            <a:off x="0" y="0"/>
                            <a:ext cx="2954655" cy="2447925"/>
                          </a:xfrm>
                          <a:prstGeom prst="rect">
                            <a:avLst/>
                          </a:prstGeom>
                          <a:ln>
                            <a:noFill/>
                          </a:ln>
                          <a:extLst>
                            <a:ext uri="{53640926-AAD7-44D8-BBD7-CCE9431645EC}">
                              <a14:shadowObscured xmlns:a14="http://schemas.microsoft.com/office/drawing/2010/main"/>
                            </a:ext>
                          </a:extLst>
                        </pic:spPr>
                      </pic:pic>
                    </a:graphicData>
                  </a:graphic>
                </wp:inline>
              </w:drawing>
            </w:r>
          </w:p>
        </w:tc>
        <w:tc>
          <w:tcPr>
            <w:tcW w:w="5954" w:type="dxa"/>
          </w:tcPr>
          <w:p w14:paraId="7C2531A6" w14:textId="1D7D351E" w:rsidR="00271E55" w:rsidRDefault="00271E55" w:rsidP="0046439B">
            <w:pPr>
              <w:rPr>
                <w:bCs/>
              </w:rPr>
            </w:pPr>
            <w:r>
              <w:rPr>
                <w:noProof/>
              </w:rPr>
              <w:drawing>
                <wp:inline distT="0" distB="0" distL="0" distR="0" wp14:anchorId="3660402D" wp14:editId="7E9B0E8F">
                  <wp:extent cx="3619500" cy="280035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0">
                            <a:extLst>
                              <a:ext uri="{28A0092B-C50C-407E-A947-70E740481C1C}">
                                <a14:useLocalDpi xmlns:a14="http://schemas.microsoft.com/office/drawing/2010/main" val="0"/>
                              </a:ext>
                            </a:extLst>
                          </a:blip>
                          <a:srcRect l="4172" r="2585"/>
                          <a:stretch/>
                        </pic:blipFill>
                        <pic:spPr bwMode="auto">
                          <a:xfrm>
                            <a:off x="0" y="0"/>
                            <a:ext cx="3619500" cy="2800350"/>
                          </a:xfrm>
                          <a:prstGeom prst="rect">
                            <a:avLst/>
                          </a:prstGeom>
                          <a:ln>
                            <a:noFill/>
                          </a:ln>
                          <a:extLst>
                            <a:ext uri="{53640926-AAD7-44D8-BBD7-CCE9431645EC}">
                              <a14:shadowObscured xmlns:a14="http://schemas.microsoft.com/office/drawing/2010/main"/>
                            </a:ext>
                          </a:extLst>
                        </pic:spPr>
                      </pic:pic>
                    </a:graphicData>
                  </a:graphic>
                </wp:inline>
              </w:drawing>
            </w:r>
          </w:p>
        </w:tc>
      </w:tr>
    </w:tbl>
    <w:p w14:paraId="6048D7AF" w14:textId="7DD6A8A0" w:rsidR="004E3E27" w:rsidRDefault="004E3E27" w:rsidP="003C7F77">
      <w:pPr>
        <w:rPr>
          <w:bCs/>
        </w:rPr>
      </w:pPr>
      <w:r>
        <w:t>25 µm kalınlığındaki yağ tabakasının uygulanmasından hemen sonraki MIR spektrumu. CH0 dalga boyu aralığı yağın mevcudiyetinden etkilenir, buna karşılık CH1 dalga boyu aralığında bir sinyal azalması gözlenmez.</w:t>
      </w:r>
    </w:p>
    <w:p w14:paraId="2F0FEED9" w14:textId="77777777" w:rsidR="00097D14" w:rsidRPr="00097D14" w:rsidRDefault="00097D14" w:rsidP="003C7F77">
      <w:pPr>
        <w:rPr>
          <w:bCs/>
        </w:rPr>
      </w:pPr>
    </w:p>
    <w:tbl>
      <w:tblPr>
        <w:tblStyle w:val="Tabellenraster"/>
        <w:tblW w:w="1105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954"/>
      </w:tblGrid>
      <w:tr w:rsidR="00C247EE" w14:paraId="66FB6995" w14:textId="77777777" w:rsidTr="006551EF">
        <w:tc>
          <w:tcPr>
            <w:tcW w:w="5104" w:type="dxa"/>
          </w:tcPr>
          <w:p w14:paraId="78289694" w14:textId="2393D185" w:rsidR="00BF2180" w:rsidRDefault="00BF2180" w:rsidP="00E134A7">
            <w:pPr>
              <w:rPr>
                <w:bCs/>
                <w:noProof/>
              </w:rPr>
            </w:pPr>
            <w:r>
              <w:rPr>
                <w:noProof/>
              </w:rPr>
              <w:drawing>
                <wp:inline distT="0" distB="0" distL="0" distR="0" wp14:anchorId="7A53B912" wp14:editId="0CA1BB1A">
                  <wp:extent cx="2990850" cy="2524125"/>
                  <wp:effectExtent l="0" t="0" r="0" b="9525"/>
                  <wp:docPr id="10" name="Grafik 10"/>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rotWithShape="1">
                          <a:blip r:embed="rId11" cstate="print">
                            <a:extLst>
                              <a:ext uri="{28A0092B-C50C-407E-A947-70E740481C1C}">
                                <a14:useLocalDpi xmlns:a14="http://schemas.microsoft.com/office/drawing/2010/main" val="0"/>
                              </a:ext>
                            </a:extLst>
                          </a:blip>
                          <a:srcRect l="12535" r="-1"/>
                          <a:stretch/>
                        </pic:blipFill>
                        <pic:spPr bwMode="auto">
                          <a:xfrm>
                            <a:off x="0" y="0"/>
                            <a:ext cx="2990850" cy="2524125"/>
                          </a:xfrm>
                          <a:prstGeom prst="rect">
                            <a:avLst/>
                          </a:prstGeom>
                          <a:ln>
                            <a:noFill/>
                          </a:ln>
                          <a:extLst>
                            <a:ext uri="{53640926-AAD7-44D8-BBD7-CCE9431645EC}">
                              <a14:shadowObscured xmlns:a14="http://schemas.microsoft.com/office/drawing/2010/main"/>
                            </a:ext>
                          </a:extLst>
                        </pic:spPr>
                      </pic:pic>
                    </a:graphicData>
                  </a:graphic>
                </wp:inline>
              </w:drawing>
            </w:r>
          </w:p>
        </w:tc>
        <w:tc>
          <w:tcPr>
            <w:tcW w:w="5954" w:type="dxa"/>
          </w:tcPr>
          <w:p w14:paraId="4825A36D" w14:textId="78D9AE8F" w:rsidR="00BF2180" w:rsidRDefault="00BF2180" w:rsidP="00E134A7">
            <w:pPr>
              <w:rPr>
                <w:bCs/>
              </w:rPr>
            </w:pPr>
            <w:r>
              <w:rPr>
                <w:noProof/>
              </w:rPr>
              <w:drawing>
                <wp:inline distT="0" distB="0" distL="0" distR="0" wp14:anchorId="2D574BC5" wp14:editId="58CA0197">
                  <wp:extent cx="3581400" cy="2695575"/>
                  <wp:effectExtent l="0" t="0" r="0" b="9525"/>
                  <wp:docPr id="12" name="Grafik 12"/>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rotWithShape="1">
                          <a:blip r:embed="rId12">
                            <a:extLst>
                              <a:ext uri="{28A0092B-C50C-407E-A947-70E740481C1C}">
                                <a14:useLocalDpi xmlns:a14="http://schemas.microsoft.com/office/drawing/2010/main" val="0"/>
                              </a:ext>
                            </a:extLst>
                          </a:blip>
                          <a:srcRect l="4908" t="-1020" r="2830" b="4761"/>
                          <a:stretch/>
                        </pic:blipFill>
                        <pic:spPr bwMode="auto">
                          <a:xfrm>
                            <a:off x="0" y="0"/>
                            <a:ext cx="3581400" cy="2695575"/>
                          </a:xfrm>
                          <a:prstGeom prst="rect">
                            <a:avLst/>
                          </a:prstGeom>
                          <a:ln>
                            <a:noFill/>
                          </a:ln>
                          <a:extLst>
                            <a:ext uri="{53640926-AAD7-44D8-BBD7-CCE9431645EC}">
                              <a14:shadowObscured xmlns:a14="http://schemas.microsoft.com/office/drawing/2010/main"/>
                            </a:ext>
                          </a:extLst>
                        </pic:spPr>
                      </pic:pic>
                    </a:graphicData>
                  </a:graphic>
                </wp:inline>
              </w:drawing>
            </w:r>
          </w:p>
        </w:tc>
      </w:tr>
    </w:tbl>
    <w:p w14:paraId="42742C5C" w14:textId="77777777" w:rsidR="00097D14" w:rsidRDefault="00097D14" w:rsidP="00522C1F">
      <w:pPr>
        <w:rPr>
          <w:bCs/>
        </w:rPr>
      </w:pPr>
    </w:p>
    <w:p w14:paraId="27F9824A" w14:textId="325A04BA" w:rsidR="00522C1F" w:rsidRPr="00097D14" w:rsidRDefault="00254042" w:rsidP="00522C1F">
      <w:pPr>
        <w:rPr>
          <w:bCs/>
        </w:rPr>
      </w:pPr>
      <w:r>
        <w:t>Zaman atlamalı MIR spektrumu gösterimi: CH0’da yağ tarafından neden olunan sinyal azalması artan yağ buharlaşmasıyla birlikte azalır.</w:t>
      </w:r>
    </w:p>
    <w:p w14:paraId="229CFFE0" w14:textId="0C00A5D9" w:rsidR="000E48A5" w:rsidRDefault="000E48A5">
      <w:pPr>
        <w:rPr>
          <w:bCs/>
          <w:sz w:val="20"/>
          <w:szCs w:val="20"/>
        </w:rPr>
      </w:pPr>
      <w:r>
        <w:br w:type="page"/>
      </w:r>
    </w:p>
    <w:bookmarkEnd w:id="0"/>
    <w:p w14:paraId="23E3E001" w14:textId="77777777" w:rsidR="00271E55" w:rsidRPr="00097D14" w:rsidRDefault="00271E55" w:rsidP="00271E55">
      <w:pPr>
        <w:rPr>
          <w:bCs/>
        </w:rPr>
      </w:pPr>
      <w:r>
        <w:lastRenderedPageBreak/>
        <w:t>Birkaç saatlik bir süre boyunca, standartlaştırılmış MIR sinyali eksi standartlaştırılmış MIRref sinyali Windows® MIR Scope V1.0 yazılımı ile kaydedilmiştir:</w:t>
      </w:r>
    </w:p>
    <w:tbl>
      <w:tblPr>
        <w:tblStyle w:val="Tabellenraster"/>
        <w:tblW w:w="11199"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26"/>
      </w:tblGrid>
      <w:tr w:rsidR="0054188C" w14:paraId="2C555BD5" w14:textId="77777777" w:rsidTr="006551EF">
        <w:tc>
          <w:tcPr>
            <w:tcW w:w="11199" w:type="dxa"/>
          </w:tcPr>
          <w:p w14:paraId="608E7B19" w14:textId="77777777" w:rsidR="0054188C" w:rsidRDefault="0054188C" w:rsidP="00E134A7">
            <w:pPr>
              <w:rPr>
                <w:bCs/>
                <w:sz w:val="20"/>
                <w:szCs w:val="20"/>
              </w:rPr>
            </w:pPr>
            <w:r>
              <w:rPr>
                <w:noProof/>
              </w:rPr>
              <w:drawing>
                <wp:inline distT="0" distB="0" distL="0" distR="0" wp14:anchorId="61B0B45F" wp14:editId="30895DBF">
                  <wp:extent cx="6982371" cy="2105025"/>
                  <wp:effectExtent l="0" t="0" r="9525"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986975" cy="2106413"/>
                          </a:xfrm>
                          <a:prstGeom prst="rect">
                            <a:avLst/>
                          </a:prstGeom>
                        </pic:spPr>
                      </pic:pic>
                    </a:graphicData>
                  </a:graphic>
                </wp:inline>
              </w:drawing>
            </w:r>
          </w:p>
          <w:p w14:paraId="55154719" w14:textId="77777777" w:rsidR="0054188C" w:rsidRDefault="0054188C" w:rsidP="00E134A7">
            <w:pPr>
              <w:rPr>
                <w:bCs/>
                <w:sz w:val="20"/>
                <w:szCs w:val="20"/>
              </w:rPr>
            </w:pPr>
          </w:p>
        </w:tc>
      </w:tr>
    </w:tbl>
    <w:p w14:paraId="179E3C1D" w14:textId="77777777" w:rsidR="00097D14" w:rsidRDefault="00097D14" w:rsidP="00254042">
      <w:pPr>
        <w:rPr>
          <w:bCs/>
        </w:rPr>
      </w:pPr>
    </w:p>
    <w:p w14:paraId="3FBB71DC" w14:textId="076DBAA7" w:rsidR="0054188C" w:rsidRPr="00097D14" w:rsidRDefault="00271E55" w:rsidP="00254042">
      <w:pPr>
        <w:rPr>
          <w:bCs/>
        </w:rPr>
      </w:pPr>
      <w:r>
        <w:t>Burada tüm test edilmiş yağ numuneleri için aşağıdaki diyagrama benzer bir değişim tespit edilmiştir:</w:t>
      </w:r>
    </w:p>
    <w:tbl>
      <w:tblPr>
        <w:tblStyle w:val="Tabellenraster"/>
        <w:tblW w:w="11242" w:type="dxa"/>
        <w:tblInd w:w="-9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242"/>
      </w:tblGrid>
      <w:tr w:rsidR="00BF2180" w14:paraId="3FFAE879" w14:textId="77777777" w:rsidTr="00271E55">
        <w:tc>
          <w:tcPr>
            <w:tcW w:w="11242" w:type="dxa"/>
          </w:tcPr>
          <w:tbl>
            <w:tblPr>
              <w:tblStyle w:val="Tabellenraster"/>
              <w:tblW w:w="10206" w:type="dxa"/>
              <w:tblInd w:w="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1"/>
              <w:gridCol w:w="4585"/>
            </w:tblGrid>
            <w:tr w:rsidR="0054188C" w14:paraId="0F851B2B" w14:textId="77777777" w:rsidTr="006551EF">
              <w:tc>
                <w:tcPr>
                  <w:tcW w:w="5621" w:type="dxa"/>
                </w:tcPr>
                <w:p w14:paraId="147869F2" w14:textId="10737F46" w:rsidR="0054188C" w:rsidRDefault="0054188C" w:rsidP="004E4615">
                  <w:pPr>
                    <w:spacing w:line="276" w:lineRule="auto"/>
                  </w:pPr>
                  <w:r>
                    <w:rPr>
                      <w:noProof/>
                    </w:rPr>
                    <w:drawing>
                      <wp:inline distT="0" distB="0" distL="0" distR="0" wp14:anchorId="09DCB5A7" wp14:editId="73318FBF">
                        <wp:extent cx="3338978" cy="2572109"/>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14">
                                  <a:extLst>
                                    <a:ext uri="{28A0092B-C50C-407E-A947-70E740481C1C}">
                                      <a14:useLocalDpi xmlns:a14="http://schemas.microsoft.com/office/drawing/2010/main" val="0"/>
                                    </a:ext>
                                  </a:extLst>
                                </a:blip>
                                <a:stretch>
                                  <a:fillRect/>
                                </a:stretch>
                              </pic:blipFill>
                              <pic:spPr>
                                <a:xfrm>
                                  <a:off x="0" y="0"/>
                                  <a:ext cx="3338978" cy="2572109"/>
                                </a:xfrm>
                                <a:prstGeom prst="rect">
                                  <a:avLst/>
                                </a:prstGeom>
                              </pic:spPr>
                            </pic:pic>
                          </a:graphicData>
                        </a:graphic>
                      </wp:inline>
                    </w:drawing>
                  </w:r>
                </w:p>
              </w:tc>
              <w:tc>
                <w:tcPr>
                  <w:tcW w:w="4585" w:type="dxa"/>
                </w:tcPr>
                <w:p w14:paraId="27DE2AE1" w14:textId="77777777" w:rsidR="0054188C" w:rsidRDefault="0054188C" w:rsidP="004E4615">
                  <w:pPr>
                    <w:spacing w:line="276" w:lineRule="auto"/>
                    <w:rPr>
                      <w:noProof/>
                    </w:rPr>
                  </w:pPr>
                </w:p>
                <w:p w14:paraId="6A851BB7" w14:textId="111FCAAA" w:rsidR="0054188C" w:rsidRDefault="0054188C" w:rsidP="004E4615">
                  <w:pPr>
                    <w:spacing w:line="276" w:lineRule="auto"/>
                  </w:pPr>
                  <w:r>
                    <w:rPr>
                      <w:noProof/>
                    </w:rPr>
                    <w:drawing>
                      <wp:inline distT="0" distB="0" distL="0" distR="0" wp14:anchorId="0BAE95D5" wp14:editId="43B6B717">
                        <wp:extent cx="2175805" cy="1631632"/>
                        <wp:effectExtent l="5397" t="0" r="1588" b="1587"/>
                        <wp:docPr id="24" name="Grafik 24" descr="Ein Bild, das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Ein Bild, das Lich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rot="5400000">
                                  <a:off x="0" y="0"/>
                                  <a:ext cx="2208541" cy="1656181"/>
                                </a:xfrm>
                                <a:prstGeom prst="rect">
                                  <a:avLst/>
                                </a:prstGeom>
                              </pic:spPr>
                            </pic:pic>
                          </a:graphicData>
                        </a:graphic>
                      </wp:inline>
                    </w:drawing>
                  </w:r>
                </w:p>
              </w:tc>
            </w:tr>
          </w:tbl>
          <w:p w14:paraId="3B36CA47" w14:textId="047D21B2" w:rsidR="00BF2180" w:rsidRDefault="00BF2180" w:rsidP="004E4615">
            <w:pPr>
              <w:spacing w:line="276" w:lineRule="auto"/>
            </w:pPr>
          </w:p>
        </w:tc>
      </w:tr>
    </w:tbl>
    <w:p w14:paraId="725C1453" w14:textId="77777777" w:rsidR="00271E55" w:rsidRPr="00097D14" w:rsidRDefault="00271E55" w:rsidP="00271E55">
      <w:pPr>
        <w:rPr>
          <w:bCs/>
        </w:rPr>
      </w:pPr>
      <w:r>
        <w:t>Burada buharlaşma süresi 60 dk ila 90 dk’dır. Yağ kalıntısı ise en güçlü buharlaşan yağda baştaki yağ tabakası kalınlığının tipik olarak %1’i ve en zayıf buharlaşan numunede baştaki yağ tabakası kalınlığının tipik olarak %50’sidir.</w:t>
      </w:r>
    </w:p>
    <w:p w14:paraId="39A8D988" w14:textId="080AAEE7" w:rsidR="00C247EE" w:rsidRDefault="00C247EE" w:rsidP="004E4615">
      <w:pPr>
        <w:spacing w:line="276" w:lineRule="auto"/>
      </w:pPr>
    </w:p>
    <w:p w14:paraId="08AA5642" w14:textId="64C34ACA" w:rsidR="00C247EE" w:rsidRDefault="00C247EE" w:rsidP="004E4615">
      <w:pPr>
        <w:spacing w:line="276" w:lineRule="auto"/>
      </w:pPr>
    </w:p>
    <w:p w14:paraId="68A54FCB" w14:textId="12AA5009" w:rsidR="00595F28" w:rsidRPr="00F83413" w:rsidRDefault="00595F28" w:rsidP="004E4615">
      <w:pPr>
        <w:spacing w:line="276" w:lineRule="auto"/>
        <w:rPr>
          <w:b/>
        </w:rPr>
      </w:pPr>
      <w:r>
        <w:rPr>
          <w:b/>
        </w:rPr>
        <w:t>İletişim:</w:t>
      </w:r>
    </w:p>
    <w:p w14:paraId="61837551" w14:textId="17F855FC" w:rsidR="002F05F3" w:rsidRPr="004E4615" w:rsidRDefault="00595F28" w:rsidP="004E4615">
      <w:pPr>
        <w:spacing w:line="276" w:lineRule="auto"/>
        <w:rPr>
          <w:rFonts w:ascii="Arial" w:hAnsi="Arial" w:cs="Arial"/>
        </w:rPr>
      </w:pPr>
      <w:r>
        <w:rPr>
          <w:rFonts w:ascii="Arial" w:hAnsi="Arial"/>
        </w:rPr>
        <w:t>Sensor Instruments</w:t>
      </w:r>
      <w:r>
        <w:rPr>
          <w:rFonts w:ascii="Arial" w:hAnsi="Arial"/>
        </w:rPr>
        <w:br/>
        <w:t>Entwicklungs- und Vertriebs GmbH</w:t>
      </w:r>
      <w:r>
        <w:rPr>
          <w:rFonts w:ascii="Arial" w:hAnsi="Arial"/>
        </w:rPr>
        <w:br/>
        <w:t>Schlinding 11</w:t>
      </w:r>
      <w:r>
        <w:rPr>
          <w:rFonts w:ascii="Arial" w:hAnsi="Arial"/>
        </w:rPr>
        <w:br/>
        <w:t>D-94169 Thurmansbang</w:t>
      </w:r>
      <w:r>
        <w:rPr>
          <w:rFonts w:ascii="Arial" w:hAnsi="Arial"/>
        </w:rPr>
        <w:br/>
        <w:t>Telefon +49 8544 9719-0</w:t>
      </w:r>
      <w:r>
        <w:rPr>
          <w:rFonts w:ascii="Arial" w:hAnsi="Arial"/>
        </w:rPr>
        <w:br/>
        <w:t>faks +49 8544 9719-13</w:t>
      </w:r>
      <w:r>
        <w:rPr>
          <w:rFonts w:ascii="Arial" w:hAnsi="Arial"/>
        </w:rPr>
        <w:br/>
        <w:t>info@sensorinstruments.de</w:t>
      </w:r>
    </w:p>
    <w:sectPr w:rsidR="002F05F3" w:rsidRPr="004E4615" w:rsidSect="00746D2A">
      <w:footerReference w:type="default" r:id="rId16"/>
      <w:pgSz w:w="11906" w:h="16838"/>
      <w:pgMar w:top="1417" w:right="70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283E0" w14:textId="77777777" w:rsidR="00B8307B" w:rsidRDefault="00B8307B" w:rsidP="001532A0">
      <w:pPr>
        <w:spacing w:after="0" w:line="240" w:lineRule="auto"/>
      </w:pPr>
      <w:r>
        <w:separator/>
      </w:r>
    </w:p>
  </w:endnote>
  <w:endnote w:type="continuationSeparator" w:id="0">
    <w:p w14:paraId="30ADBD72" w14:textId="77777777" w:rsidR="00B8307B" w:rsidRDefault="00B8307B" w:rsidP="001532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707412" w14:textId="34479F91" w:rsidR="001532A0" w:rsidRPr="003D1945" w:rsidRDefault="00805FAD" w:rsidP="00015DA6">
    <w:pPr>
      <w:pStyle w:val="Fuzeile"/>
      <w:jc w:val="right"/>
      <w:rPr>
        <w:sz w:val="16"/>
        <w:szCs w:val="16"/>
      </w:rPr>
    </w:pPr>
    <w:r>
      <w:rPr>
        <w:sz w:val="16"/>
        <w:szCs w:val="16"/>
      </w:rPr>
      <w:fldChar w:fldCharType="begin"/>
    </w:r>
    <w:r>
      <w:rPr>
        <w:sz w:val="16"/>
        <w:szCs w:val="16"/>
      </w:rPr>
      <w:instrText xml:space="preserve"> FILENAME   \* MERGEFORMAT </w:instrText>
    </w:r>
    <w:r>
      <w:rPr>
        <w:sz w:val="16"/>
        <w:szCs w:val="16"/>
      </w:rPr>
      <w:fldChar w:fldCharType="separate"/>
    </w:r>
    <w:r w:rsidR="00787ACE">
      <w:rPr>
        <w:noProof/>
        <w:sz w:val="16"/>
        <w:szCs w:val="16"/>
      </w:rPr>
      <w:t>TR_PI_2020-12-22_SI_Uçup gitti mi.docx</w:t>
    </w:r>
    <w:r>
      <w:rPr>
        <w:sz w:val="16"/>
        <w:szCs w:val="16"/>
      </w:rPr>
      <w:fldChar w:fldCharType="end"/>
    </w:r>
    <w:r>
      <w:rPr>
        <w:sz w:val="16"/>
        <w:szCs w:val="16"/>
      </w:rPr>
      <w:t xml:space="preserve"> </w:t>
    </w:r>
    <w:r w:rsidR="001532A0" w:rsidRPr="00E46C22">
      <w:rPr>
        <w:bCs/>
        <w:sz w:val="16"/>
        <w:szCs w:val="16"/>
      </w:rPr>
      <w:fldChar w:fldCharType="begin"/>
    </w:r>
    <w:r w:rsidR="001532A0" w:rsidRPr="003D1945">
      <w:rPr>
        <w:bCs/>
        <w:sz w:val="16"/>
        <w:szCs w:val="16"/>
      </w:rPr>
      <w:instrText>PAGE  \* Arabic  \* MERGEFORMAT</w:instrText>
    </w:r>
    <w:r w:rsidR="001532A0" w:rsidRPr="00E46C22">
      <w:rPr>
        <w:bCs/>
        <w:sz w:val="16"/>
        <w:szCs w:val="16"/>
      </w:rPr>
      <w:fldChar w:fldCharType="separate"/>
    </w:r>
    <w:r w:rsidR="00A23E3A">
      <w:rPr>
        <w:bCs/>
        <w:sz w:val="16"/>
        <w:szCs w:val="16"/>
      </w:rPr>
      <w:t>1</w:t>
    </w:r>
    <w:r w:rsidR="001532A0" w:rsidRPr="00E46C22">
      <w:rPr>
        <w:bCs/>
        <w:sz w:val="16"/>
        <w:szCs w:val="16"/>
      </w:rPr>
      <w:fldChar w:fldCharType="end"/>
    </w:r>
    <w:r>
      <w:rPr>
        <w:bCs/>
        <w:sz w:val="16"/>
        <w:szCs w:val="16"/>
      </w:rPr>
      <w:t>/</w:t>
    </w:r>
    <w:r w:rsidR="001532A0" w:rsidRPr="00E46C22">
      <w:rPr>
        <w:bCs/>
        <w:sz w:val="16"/>
        <w:szCs w:val="16"/>
      </w:rPr>
      <w:fldChar w:fldCharType="begin"/>
    </w:r>
    <w:r w:rsidR="001532A0" w:rsidRPr="003D1945">
      <w:rPr>
        <w:bCs/>
        <w:sz w:val="16"/>
        <w:szCs w:val="16"/>
      </w:rPr>
      <w:instrText>NUMPAGES  \* Arabic  \* MERGEFORMAT</w:instrText>
    </w:r>
    <w:r w:rsidR="001532A0" w:rsidRPr="00E46C22">
      <w:rPr>
        <w:bCs/>
        <w:sz w:val="16"/>
        <w:szCs w:val="16"/>
      </w:rPr>
      <w:fldChar w:fldCharType="separate"/>
    </w:r>
    <w:r w:rsidR="00A23E3A">
      <w:rPr>
        <w:bCs/>
        <w:sz w:val="16"/>
        <w:szCs w:val="16"/>
      </w:rPr>
      <w:t>2</w:t>
    </w:r>
    <w:r w:rsidR="001532A0" w:rsidRPr="00E46C22">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DD658" w14:textId="77777777" w:rsidR="00B8307B" w:rsidRDefault="00B8307B" w:rsidP="001532A0">
      <w:pPr>
        <w:spacing w:after="0" w:line="240" w:lineRule="auto"/>
      </w:pPr>
      <w:r>
        <w:separator/>
      </w:r>
    </w:p>
  </w:footnote>
  <w:footnote w:type="continuationSeparator" w:id="0">
    <w:p w14:paraId="2A66EF02" w14:textId="77777777" w:rsidR="00B8307B" w:rsidRDefault="00B8307B" w:rsidP="001532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76A"/>
    <w:rsid w:val="00011138"/>
    <w:rsid w:val="00015DA6"/>
    <w:rsid w:val="00034BD0"/>
    <w:rsid w:val="0005107E"/>
    <w:rsid w:val="00083FA8"/>
    <w:rsid w:val="00097D14"/>
    <w:rsid w:val="000B15E4"/>
    <w:rsid w:val="000C5369"/>
    <w:rsid w:val="000D3751"/>
    <w:rsid w:val="000E26A2"/>
    <w:rsid w:val="000E48A5"/>
    <w:rsid w:val="000F016C"/>
    <w:rsid w:val="000F35CD"/>
    <w:rsid w:val="001109A8"/>
    <w:rsid w:val="00116618"/>
    <w:rsid w:val="001278B1"/>
    <w:rsid w:val="001532A0"/>
    <w:rsid w:val="00155E9B"/>
    <w:rsid w:val="00157ACA"/>
    <w:rsid w:val="00190F41"/>
    <w:rsid w:val="001A2F8D"/>
    <w:rsid w:val="001C703E"/>
    <w:rsid w:val="001E2553"/>
    <w:rsid w:val="00207970"/>
    <w:rsid w:val="00220B43"/>
    <w:rsid w:val="00226449"/>
    <w:rsid w:val="002327AC"/>
    <w:rsid w:val="00237330"/>
    <w:rsid w:val="00254042"/>
    <w:rsid w:val="00267CF2"/>
    <w:rsid w:val="00271E55"/>
    <w:rsid w:val="00280E84"/>
    <w:rsid w:val="002F05F3"/>
    <w:rsid w:val="0032462B"/>
    <w:rsid w:val="00346821"/>
    <w:rsid w:val="00355CA2"/>
    <w:rsid w:val="00366410"/>
    <w:rsid w:val="0038313D"/>
    <w:rsid w:val="003C7F77"/>
    <w:rsid w:val="003D1945"/>
    <w:rsid w:val="00424CBE"/>
    <w:rsid w:val="0045782D"/>
    <w:rsid w:val="00457CED"/>
    <w:rsid w:val="004652CF"/>
    <w:rsid w:val="004803D1"/>
    <w:rsid w:val="004963B7"/>
    <w:rsid w:val="004E3E27"/>
    <w:rsid w:val="004E4615"/>
    <w:rsid w:val="004F520E"/>
    <w:rsid w:val="00514FA2"/>
    <w:rsid w:val="00522C1F"/>
    <w:rsid w:val="00522C7C"/>
    <w:rsid w:val="0054188C"/>
    <w:rsid w:val="005532F6"/>
    <w:rsid w:val="00584CFF"/>
    <w:rsid w:val="00595F28"/>
    <w:rsid w:val="005A6BDD"/>
    <w:rsid w:val="005B7606"/>
    <w:rsid w:val="005C74F5"/>
    <w:rsid w:val="005F4E55"/>
    <w:rsid w:val="005F6417"/>
    <w:rsid w:val="00652094"/>
    <w:rsid w:val="006521D5"/>
    <w:rsid w:val="006551EF"/>
    <w:rsid w:val="00657AC7"/>
    <w:rsid w:val="00660FF3"/>
    <w:rsid w:val="00672472"/>
    <w:rsid w:val="00682770"/>
    <w:rsid w:val="00686C21"/>
    <w:rsid w:val="0069706E"/>
    <w:rsid w:val="006B7DAE"/>
    <w:rsid w:val="00746D2A"/>
    <w:rsid w:val="00751184"/>
    <w:rsid w:val="00760C7B"/>
    <w:rsid w:val="00766489"/>
    <w:rsid w:val="007750EB"/>
    <w:rsid w:val="00787ACE"/>
    <w:rsid w:val="007A3C3F"/>
    <w:rsid w:val="007A65E8"/>
    <w:rsid w:val="007A7269"/>
    <w:rsid w:val="007B7D0D"/>
    <w:rsid w:val="007C45AC"/>
    <w:rsid w:val="007D1312"/>
    <w:rsid w:val="007D4006"/>
    <w:rsid w:val="007D65EE"/>
    <w:rsid w:val="007E1558"/>
    <w:rsid w:val="007F0AF4"/>
    <w:rsid w:val="008024F4"/>
    <w:rsid w:val="00805FAD"/>
    <w:rsid w:val="008171A6"/>
    <w:rsid w:val="00836A41"/>
    <w:rsid w:val="00864FBD"/>
    <w:rsid w:val="00867B71"/>
    <w:rsid w:val="00886511"/>
    <w:rsid w:val="008B6A5F"/>
    <w:rsid w:val="0090182A"/>
    <w:rsid w:val="00921366"/>
    <w:rsid w:val="009276C6"/>
    <w:rsid w:val="00930E27"/>
    <w:rsid w:val="00931123"/>
    <w:rsid w:val="0093346A"/>
    <w:rsid w:val="00966044"/>
    <w:rsid w:val="009850E0"/>
    <w:rsid w:val="00992625"/>
    <w:rsid w:val="009A2388"/>
    <w:rsid w:val="009A2B09"/>
    <w:rsid w:val="009B3E7C"/>
    <w:rsid w:val="009D07C5"/>
    <w:rsid w:val="00A238DF"/>
    <w:rsid w:val="00A23E3A"/>
    <w:rsid w:val="00A45304"/>
    <w:rsid w:val="00A572D4"/>
    <w:rsid w:val="00A8462C"/>
    <w:rsid w:val="00AA54CC"/>
    <w:rsid w:val="00B0585B"/>
    <w:rsid w:val="00B201E7"/>
    <w:rsid w:val="00B22F48"/>
    <w:rsid w:val="00B41AA5"/>
    <w:rsid w:val="00B8307B"/>
    <w:rsid w:val="00BC3752"/>
    <w:rsid w:val="00BC7389"/>
    <w:rsid w:val="00BF2180"/>
    <w:rsid w:val="00BF2A2B"/>
    <w:rsid w:val="00C076B7"/>
    <w:rsid w:val="00C12EAC"/>
    <w:rsid w:val="00C247EE"/>
    <w:rsid w:val="00C24AA9"/>
    <w:rsid w:val="00C47596"/>
    <w:rsid w:val="00C575DB"/>
    <w:rsid w:val="00C6176A"/>
    <w:rsid w:val="00C85DCD"/>
    <w:rsid w:val="00C87ED5"/>
    <w:rsid w:val="00CB61DE"/>
    <w:rsid w:val="00CB6F88"/>
    <w:rsid w:val="00D12E9B"/>
    <w:rsid w:val="00D25F41"/>
    <w:rsid w:val="00D55447"/>
    <w:rsid w:val="00D56413"/>
    <w:rsid w:val="00D73FF6"/>
    <w:rsid w:val="00D7438D"/>
    <w:rsid w:val="00D74564"/>
    <w:rsid w:val="00D77A0B"/>
    <w:rsid w:val="00D92221"/>
    <w:rsid w:val="00D92430"/>
    <w:rsid w:val="00DB1747"/>
    <w:rsid w:val="00DC64E6"/>
    <w:rsid w:val="00DE2E45"/>
    <w:rsid w:val="00E133D0"/>
    <w:rsid w:val="00E54F09"/>
    <w:rsid w:val="00E80B9A"/>
    <w:rsid w:val="00E90C27"/>
    <w:rsid w:val="00EA3D9D"/>
    <w:rsid w:val="00ED570B"/>
    <w:rsid w:val="00EE5D2F"/>
    <w:rsid w:val="00F310CA"/>
    <w:rsid w:val="00F83413"/>
    <w:rsid w:val="00F93484"/>
    <w:rsid w:val="00FB50F6"/>
    <w:rsid w:val="00FB74D8"/>
    <w:rsid w:val="00FC56C9"/>
    <w:rsid w:val="00FC7E65"/>
    <w:rsid w:val="00FD76D1"/>
    <w:rsid w:val="00FE4F71"/>
    <w:rsid w:val="00FF5E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448254B"/>
  <w15:docId w15:val="{2CFF7D89-0D95-4DA6-A786-83DD9B88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0B43"/>
  </w:style>
  <w:style w:type="paragraph" w:styleId="berschrift2">
    <w:name w:val="heading 2"/>
    <w:basedOn w:val="Standard"/>
    <w:link w:val="berschrift2Zchn"/>
    <w:uiPriority w:val="9"/>
    <w:qFormat/>
    <w:rsid w:val="00595F28"/>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595F28"/>
    <w:rPr>
      <w:rFonts w:ascii="Times New Roman" w:eastAsia="Times New Roman" w:hAnsi="Times New Roman" w:cs="Times New Roman"/>
      <w:b/>
      <w:bCs/>
      <w:sz w:val="36"/>
      <w:szCs w:val="36"/>
      <w:lang w:eastAsia="de-DE"/>
    </w:rPr>
  </w:style>
  <w:style w:type="paragraph" w:styleId="Sprechblasentext">
    <w:name w:val="Balloon Text"/>
    <w:basedOn w:val="Standard"/>
    <w:link w:val="SprechblasentextZchn"/>
    <w:uiPriority w:val="99"/>
    <w:semiHidden/>
    <w:unhideWhenUsed/>
    <w:rsid w:val="00595F2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95F28"/>
    <w:rPr>
      <w:rFonts w:ascii="Segoe UI" w:hAnsi="Segoe UI" w:cs="Segoe UI"/>
      <w:sz w:val="18"/>
      <w:szCs w:val="18"/>
    </w:rPr>
  </w:style>
  <w:style w:type="paragraph" w:styleId="Kopfzeile">
    <w:name w:val="header"/>
    <w:basedOn w:val="Standard"/>
    <w:link w:val="KopfzeileZchn"/>
    <w:uiPriority w:val="99"/>
    <w:unhideWhenUsed/>
    <w:rsid w:val="001532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532A0"/>
  </w:style>
  <w:style w:type="paragraph" w:styleId="Fuzeile">
    <w:name w:val="footer"/>
    <w:basedOn w:val="Standard"/>
    <w:link w:val="FuzeileZchn"/>
    <w:uiPriority w:val="99"/>
    <w:unhideWhenUsed/>
    <w:rsid w:val="001532A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532A0"/>
  </w:style>
  <w:style w:type="character" w:styleId="Fett">
    <w:name w:val="Strong"/>
    <w:basedOn w:val="Absatz-Standardschriftart"/>
    <w:uiPriority w:val="22"/>
    <w:qFormat/>
    <w:rsid w:val="00E90C27"/>
    <w:rPr>
      <w:b/>
      <w:bCs/>
    </w:rPr>
  </w:style>
  <w:style w:type="table" w:styleId="Tabellenraster">
    <w:name w:val="Table Grid"/>
    <w:basedOn w:val="NormaleTabelle"/>
    <w:uiPriority w:val="39"/>
    <w:rsid w:val="00867B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559284">
      <w:bodyDiv w:val="1"/>
      <w:marLeft w:val="0"/>
      <w:marRight w:val="0"/>
      <w:marTop w:val="0"/>
      <w:marBottom w:val="0"/>
      <w:divBdr>
        <w:top w:val="none" w:sz="0" w:space="0" w:color="auto"/>
        <w:left w:val="none" w:sz="0" w:space="0" w:color="auto"/>
        <w:bottom w:val="none" w:sz="0" w:space="0" w:color="auto"/>
        <w:right w:val="none" w:sz="0" w:space="0" w:color="auto"/>
      </w:divBdr>
    </w:div>
    <w:div w:id="2110079959">
      <w:bodyDiv w:val="1"/>
      <w:marLeft w:val="0"/>
      <w:marRight w:val="0"/>
      <w:marTop w:val="0"/>
      <w:marBottom w:val="0"/>
      <w:divBdr>
        <w:top w:val="none" w:sz="0" w:space="0" w:color="auto"/>
        <w:left w:val="none" w:sz="0" w:space="0" w:color="auto"/>
        <w:bottom w:val="none" w:sz="0" w:space="0" w:color="auto"/>
        <w:right w:val="none" w:sz="0" w:space="0" w:color="auto"/>
      </w:divBdr>
      <w:divsChild>
        <w:div w:id="421687499">
          <w:marLeft w:val="0"/>
          <w:marRight w:val="0"/>
          <w:marTop w:val="0"/>
          <w:marBottom w:val="0"/>
          <w:divBdr>
            <w:top w:val="none" w:sz="0" w:space="0" w:color="auto"/>
            <w:left w:val="none" w:sz="0" w:space="0" w:color="auto"/>
            <w:bottom w:val="none" w:sz="0" w:space="0" w:color="auto"/>
            <w:right w:val="none" w:sz="0" w:space="0" w:color="auto"/>
          </w:divBdr>
          <w:divsChild>
            <w:div w:id="950553408">
              <w:marLeft w:val="0"/>
              <w:marRight w:val="0"/>
              <w:marTop w:val="0"/>
              <w:marBottom w:val="0"/>
              <w:divBdr>
                <w:top w:val="none" w:sz="0" w:space="0" w:color="auto"/>
                <w:left w:val="none" w:sz="0" w:space="0" w:color="auto"/>
                <w:bottom w:val="none" w:sz="0" w:space="0" w:color="auto"/>
                <w:right w:val="none" w:sz="0" w:space="0" w:color="auto"/>
              </w:divBdr>
            </w:div>
            <w:div w:id="11398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911188">
      <w:bodyDiv w:val="1"/>
      <w:marLeft w:val="0"/>
      <w:marRight w:val="0"/>
      <w:marTop w:val="0"/>
      <w:marBottom w:val="0"/>
      <w:divBdr>
        <w:top w:val="none" w:sz="0" w:space="0" w:color="auto"/>
        <w:left w:val="none" w:sz="0" w:space="0" w:color="auto"/>
        <w:bottom w:val="none" w:sz="0" w:space="0" w:color="auto"/>
        <w:right w:val="none" w:sz="0" w:space="0" w:color="auto"/>
      </w:divBdr>
      <w:divsChild>
        <w:div w:id="2764478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image" Target="media/image10.jpeg"/><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2206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dc:creator>
  <cp:lastModifiedBy>Helga Braumandl</cp:lastModifiedBy>
  <cp:revision>18</cp:revision>
  <cp:lastPrinted>2020-10-01T08:41:00Z</cp:lastPrinted>
  <dcterms:created xsi:type="dcterms:W3CDTF">2020-11-25T12:11:00Z</dcterms:created>
  <dcterms:modified xsi:type="dcterms:W3CDTF">2021-03-23T23:13:00Z</dcterms:modified>
</cp:coreProperties>
</file>